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outlineLvl w:val="1"/>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长沙民政职业技术学院学生参加省级以上竞赛活动经费资助办法</w:t>
      </w:r>
    </w:p>
    <w:p>
      <w:pPr>
        <w:spacing w:after="312" w:afterLines="100"/>
        <w:ind w:firstLine="3472" w:firstLineChars="1240"/>
        <w:jc w:val="both"/>
        <w:outlineLvl w:val="1"/>
        <w:rPr>
          <w:rFonts w:hint="eastAsia" w:ascii="黑体" w:hAnsi="黑体" w:eastAsia="黑体" w:cs="黑体"/>
          <w:b w:val="0"/>
          <w:bCs/>
          <w:color w:val="000000"/>
        </w:rPr>
      </w:pPr>
      <w:bookmarkStart w:id="0" w:name="_Toc166379293"/>
      <w:bookmarkStart w:id="1" w:name="_Toc166378544"/>
      <w:bookmarkStart w:id="2" w:name="_Toc166378369"/>
      <w:r>
        <w:rPr>
          <w:rFonts w:hint="eastAsia" w:ascii="黑体" w:hAnsi="黑体" w:eastAsia="黑体" w:cs="黑体"/>
          <w:b w:val="0"/>
          <w:bCs/>
          <w:color w:val="000000"/>
          <w:sz w:val="28"/>
          <w:szCs w:val="28"/>
        </w:rPr>
        <w:t>（试 行）</w:t>
      </w:r>
      <w:bookmarkEnd w:id="0"/>
      <w:bookmarkEnd w:id="1"/>
      <w:bookmarkEnd w:id="2"/>
    </w:p>
    <w:p>
      <w:pPr>
        <w:spacing w:line="440" w:lineRule="exact"/>
        <w:ind w:firstLine="480" w:firstLineChars="200"/>
        <w:rPr>
          <w:rFonts w:hint="eastAsia" w:ascii="宋体" w:hAnsi="宋体"/>
          <w:color w:val="000000"/>
          <w:sz w:val="24"/>
        </w:rPr>
      </w:pPr>
      <w:r>
        <w:rPr>
          <w:rFonts w:hint="eastAsia" w:ascii="宋体" w:hAnsi="宋体"/>
          <w:color w:val="000000"/>
          <w:sz w:val="24"/>
        </w:rPr>
        <w:t>为进一步加强学风建设，提升学生创新创业能力和勇于挑战竞赛的精神，促进学生素质的全面提高，支持和鼓励学生积极参加省级以上创新创业、专业技能竞赛活动，使我校在竞赛中多出成果，出好成果，营造良好的创新创业文化和竞赛文化，学校决定筹集专项资金，通过参赛学生及主管部门申请立项的方式来资助我校大学生的竞赛活动，特制定《长沙民政职业技术学院学生参加省级以上竞赛活动经费资助办法（试行）》</w:t>
      </w:r>
    </w:p>
    <w:p>
      <w:pPr>
        <w:spacing w:line="440" w:lineRule="exact"/>
        <w:ind w:firstLine="551" w:firstLineChars="196"/>
        <w:rPr>
          <w:rFonts w:hint="eastAsia" w:ascii="宋体" w:hAnsi="宋体"/>
          <w:b/>
          <w:color w:val="000000"/>
          <w:sz w:val="28"/>
          <w:szCs w:val="28"/>
        </w:rPr>
      </w:pPr>
      <w:r>
        <w:rPr>
          <w:rFonts w:hint="eastAsia" w:ascii="宋体" w:hAnsi="宋体"/>
          <w:b/>
          <w:color w:val="000000"/>
          <w:sz w:val="28"/>
          <w:szCs w:val="28"/>
        </w:rPr>
        <w:t>一、竞赛项目</w:t>
      </w:r>
    </w:p>
    <w:p>
      <w:pPr>
        <w:spacing w:line="440" w:lineRule="exact"/>
        <w:ind w:firstLine="480" w:firstLineChars="200"/>
        <w:rPr>
          <w:rFonts w:hint="eastAsia" w:ascii="宋体" w:hAnsi="宋体"/>
          <w:color w:val="000000"/>
          <w:sz w:val="24"/>
        </w:rPr>
      </w:pPr>
      <w:r>
        <w:rPr>
          <w:rFonts w:hint="eastAsia" w:ascii="宋体" w:hAnsi="宋体"/>
          <w:color w:val="000000"/>
          <w:sz w:val="24"/>
        </w:rPr>
        <w:t>目前，经过各高校海选参赛的全国性的大学生竞赛项目主要有四项:</w:t>
      </w:r>
    </w:p>
    <w:p>
      <w:pPr>
        <w:spacing w:line="440" w:lineRule="exact"/>
        <w:ind w:firstLine="480" w:firstLineChars="200"/>
        <w:rPr>
          <w:rFonts w:hint="eastAsia" w:ascii="宋体" w:hAnsi="宋体"/>
          <w:color w:val="000000"/>
          <w:sz w:val="24"/>
        </w:rPr>
      </w:pPr>
      <w:r>
        <w:rPr>
          <w:rFonts w:hint="eastAsia" w:ascii="宋体" w:hAnsi="宋体"/>
          <w:color w:val="000000"/>
          <w:sz w:val="24"/>
        </w:rPr>
        <w:t>1、全国大学生英语竞赛；</w:t>
      </w:r>
    </w:p>
    <w:p>
      <w:pPr>
        <w:spacing w:line="440" w:lineRule="exact"/>
        <w:ind w:firstLine="480" w:firstLineChars="200"/>
        <w:rPr>
          <w:rFonts w:hint="eastAsia" w:ascii="宋体" w:hAnsi="宋体"/>
          <w:color w:val="000000"/>
          <w:sz w:val="24"/>
        </w:rPr>
      </w:pPr>
      <w:r>
        <w:rPr>
          <w:rFonts w:hint="eastAsia" w:ascii="宋体" w:hAnsi="宋体"/>
          <w:color w:val="000000"/>
          <w:sz w:val="24"/>
        </w:rPr>
        <w:t>2、全国大学生数学建模竞赛；</w:t>
      </w:r>
    </w:p>
    <w:p>
      <w:pPr>
        <w:spacing w:line="440" w:lineRule="exact"/>
        <w:ind w:firstLine="480" w:firstLineChars="200"/>
        <w:rPr>
          <w:rFonts w:hint="eastAsia" w:ascii="宋体" w:hAnsi="宋体"/>
          <w:color w:val="000000"/>
          <w:sz w:val="24"/>
        </w:rPr>
      </w:pPr>
      <w:r>
        <w:rPr>
          <w:rFonts w:hint="eastAsia" w:ascii="宋体" w:hAnsi="宋体"/>
          <w:color w:val="000000"/>
          <w:sz w:val="24"/>
        </w:rPr>
        <w:t>3、全国大学生电子设计竞赛；</w:t>
      </w:r>
    </w:p>
    <w:p>
      <w:pPr>
        <w:spacing w:line="440" w:lineRule="exact"/>
        <w:ind w:firstLine="480" w:firstLineChars="200"/>
        <w:rPr>
          <w:rFonts w:hint="eastAsia" w:ascii="宋体" w:hAnsi="宋体"/>
          <w:color w:val="000000"/>
          <w:sz w:val="24"/>
        </w:rPr>
      </w:pPr>
      <w:r>
        <w:rPr>
          <w:rFonts w:hint="eastAsia" w:ascii="宋体" w:hAnsi="宋体"/>
          <w:color w:val="000000"/>
          <w:sz w:val="24"/>
        </w:rPr>
        <w:t>4、全国大学生“挑战杯”竞赛。它分为“挑战杯”全国大学生课外学术科技作品竞赛（俗称“大挑战杯”）和“挑战杯”中国大学生创业计划大赛（俗称“小挑战杯”），每两年间隔举办，被誉为中国大学生学术科技“奥林匹克”。</w:t>
      </w:r>
    </w:p>
    <w:p>
      <w:pPr>
        <w:spacing w:line="440" w:lineRule="exact"/>
        <w:ind w:firstLine="600" w:firstLineChars="250"/>
        <w:rPr>
          <w:rFonts w:hint="eastAsia" w:ascii="宋体" w:hAnsi="宋体"/>
          <w:color w:val="000000"/>
          <w:sz w:val="24"/>
        </w:rPr>
      </w:pPr>
      <w:r>
        <w:rPr>
          <w:rFonts w:hint="eastAsia" w:ascii="宋体" w:hAnsi="宋体"/>
          <w:color w:val="000000"/>
          <w:sz w:val="24"/>
        </w:rPr>
        <w:t>以上四项竞赛均采取学校、省（自治区、直辖市）和全国三级赛制、分预赛、复赛和决赛三个赛段进行。</w:t>
      </w:r>
    </w:p>
    <w:p>
      <w:pPr>
        <w:spacing w:line="440" w:lineRule="exact"/>
        <w:ind w:firstLine="551" w:firstLineChars="196"/>
        <w:rPr>
          <w:rFonts w:hint="eastAsia" w:ascii="宋体" w:hAnsi="宋体"/>
          <w:b/>
          <w:color w:val="000000"/>
          <w:sz w:val="28"/>
          <w:szCs w:val="28"/>
        </w:rPr>
      </w:pPr>
      <w:r>
        <w:rPr>
          <w:rFonts w:hint="eastAsia" w:ascii="宋体" w:hAnsi="宋体"/>
          <w:b/>
          <w:color w:val="000000"/>
          <w:sz w:val="28"/>
          <w:szCs w:val="28"/>
        </w:rPr>
        <w:t>二、竞赛项目经费资助</w:t>
      </w:r>
    </w:p>
    <w:p>
      <w:pPr>
        <w:spacing w:line="440" w:lineRule="exact"/>
        <w:ind w:firstLine="480" w:firstLineChars="200"/>
        <w:rPr>
          <w:rFonts w:hint="eastAsia" w:ascii="宋体" w:hAnsi="宋体"/>
          <w:color w:val="000000"/>
          <w:sz w:val="24"/>
        </w:rPr>
      </w:pPr>
      <w:r>
        <w:rPr>
          <w:rFonts w:hint="eastAsia" w:ascii="宋体" w:hAnsi="宋体"/>
          <w:color w:val="000000"/>
          <w:sz w:val="24"/>
        </w:rPr>
        <w:t>资助分两个阶段：</w:t>
      </w:r>
    </w:p>
    <w:p>
      <w:pPr>
        <w:spacing w:line="440" w:lineRule="exact"/>
        <w:ind w:firstLine="480" w:firstLineChars="200"/>
        <w:rPr>
          <w:rFonts w:hint="eastAsia" w:ascii="宋体" w:hAnsi="宋体"/>
          <w:color w:val="000000"/>
          <w:sz w:val="24"/>
        </w:rPr>
      </w:pPr>
      <w:r>
        <w:rPr>
          <w:rFonts w:hint="eastAsia" w:ascii="宋体" w:hAnsi="宋体"/>
          <w:color w:val="000000"/>
          <w:sz w:val="24"/>
        </w:rPr>
        <w:t>1、校内海选广泛发动阶段，尽可能多地让在校学生参加竞赛，接受培训，提升广大学生的竞争品质和创新创业意识是举办大赛的中心目的之一。每项比赛均需在校内广泛宣传，形成年赛制。举行校内的预赛、复赛、决赛，配套相应的专业讲座和学生多媒体公开演示，设立院、校奖励。在校级决赛的基础上产生参加省里比赛的团队和个人或作品，每项竞赛的校内竞赛活动、相关培训的费用及奖励费用由学校提供资助经费一万元。</w:t>
      </w:r>
    </w:p>
    <w:p>
      <w:pPr>
        <w:spacing w:line="440" w:lineRule="exact"/>
        <w:ind w:firstLine="480" w:firstLineChars="200"/>
        <w:rPr>
          <w:rFonts w:hint="eastAsia" w:ascii="宋体" w:hAnsi="宋体"/>
          <w:color w:val="000000"/>
          <w:sz w:val="24"/>
        </w:rPr>
      </w:pPr>
      <w:r>
        <w:rPr>
          <w:rFonts w:hint="eastAsia" w:ascii="宋体" w:hAnsi="宋体"/>
          <w:color w:val="000000"/>
          <w:sz w:val="24"/>
        </w:rPr>
        <w:t>2、凡在校内决出参加全省竞赛的团队、个人或作品，被选送参加全省和全国的所发生的费用实报实销。选送参加全省和全国的竞赛项目的培训和资料费每个竞赛可再提供五千元资助。</w:t>
      </w:r>
    </w:p>
    <w:p>
      <w:pPr>
        <w:spacing w:line="440" w:lineRule="exact"/>
        <w:ind w:firstLine="551" w:firstLineChars="196"/>
        <w:rPr>
          <w:rFonts w:hint="eastAsia" w:ascii="宋体" w:hAnsi="宋体"/>
          <w:b/>
          <w:color w:val="000000"/>
          <w:sz w:val="28"/>
          <w:szCs w:val="28"/>
        </w:rPr>
      </w:pPr>
      <w:r>
        <w:rPr>
          <w:rFonts w:hint="eastAsia" w:ascii="宋体" w:hAnsi="宋体"/>
          <w:b/>
          <w:color w:val="000000"/>
          <w:sz w:val="28"/>
          <w:szCs w:val="28"/>
        </w:rPr>
        <w:t>三、竞赛项目经费管理</w:t>
      </w:r>
    </w:p>
    <w:p>
      <w:pPr>
        <w:spacing w:line="440" w:lineRule="exact"/>
        <w:ind w:firstLine="480" w:firstLineChars="200"/>
        <w:rPr>
          <w:rFonts w:hint="eastAsia" w:ascii="宋体" w:hAnsi="宋体"/>
          <w:color w:val="000000"/>
          <w:sz w:val="24"/>
        </w:rPr>
      </w:pPr>
      <w:r>
        <w:rPr>
          <w:rFonts w:hint="eastAsia" w:ascii="宋体" w:hAnsi="宋体"/>
          <w:color w:val="000000"/>
          <w:sz w:val="24"/>
        </w:rPr>
        <w:t>1、项目资助经费由参赛的主管部门负责安排经费支出、报销事宜。四个竞赛的负责部门分别为：全国大学生数学建模竞赛由教务处和文化与传播学院负责，全国大学生电子设计大赛由教务处和电子信息工程学院负责，全国大学生“挑战杯”竞赛由团委和商学院负责，全国大学生英语竞赛由学生工作处和外语学院负责。</w:t>
      </w:r>
    </w:p>
    <w:p>
      <w:pPr>
        <w:spacing w:line="440" w:lineRule="exact"/>
        <w:ind w:firstLine="480" w:firstLineChars="200"/>
        <w:rPr>
          <w:rFonts w:hint="eastAsia" w:ascii="宋体" w:hAnsi="宋体"/>
          <w:color w:val="000000"/>
          <w:sz w:val="24"/>
        </w:rPr>
      </w:pPr>
      <w:r>
        <w:rPr>
          <w:rFonts w:hint="eastAsia" w:ascii="宋体" w:hAnsi="宋体"/>
          <w:color w:val="000000"/>
          <w:sz w:val="24"/>
        </w:rPr>
        <w:t>2、项目经费的使用要贯彻精打细算、厉行节约的原则。经费开支前需写出预算报告，经部门负责人、分管领导和校长审批后实施。超支竞赛项目（如“挑战杯”全国大学生课外学术科技作品竞赛）由项目主管部门负责写出报告，另行审批。</w:t>
      </w:r>
    </w:p>
    <w:p>
      <w:pPr>
        <w:spacing w:line="440" w:lineRule="exact"/>
        <w:ind w:firstLine="480" w:firstLineChars="200"/>
        <w:rPr>
          <w:rFonts w:hint="eastAsia" w:ascii="宋体" w:hAnsi="宋体"/>
          <w:color w:val="000000"/>
          <w:sz w:val="24"/>
        </w:rPr>
      </w:pPr>
      <w:r>
        <w:rPr>
          <w:rFonts w:hint="eastAsia" w:ascii="宋体" w:hAnsi="宋体"/>
          <w:color w:val="000000"/>
          <w:sz w:val="24"/>
        </w:rPr>
        <w:t>3、竞赛项目一经资助，必须认真履行，因不可抗拒因素而影响项目不能按期完成的除外。</w:t>
      </w:r>
    </w:p>
    <w:p>
      <w:pPr>
        <w:spacing w:line="440" w:lineRule="exact"/>
        <w:ind w:firstLine="480" w:firstLineChars="200"/>
        <w:rPr>
          <w:rFonts w:hint="eastAsia" w:ascii="宋体" w:hAnsi="宋体"/>
          <w:color w:val="000000"/>
          <w:sz w:val="24"/>
        </w:rPr>
      </w:pPr>
      <w:r>
        <w:rPr>
          <w:rFonts w:hint="eastAsia" w:ascii="宋体" w:hAnsi="宋体"/>
          <w:color w:val="000000"/>
          <w:sz w:val="24"/>
        </w:rPr>
        <w:t>4、凡进入校内决赛和被选送参加全省和全国的竞赛的团队、个人或作品要配备指导老师，指导费可列入上述经费。</w:t>
      </w:r>
    </w:p>
    <w:p>
      <w:pPr>
        <w:spacing w:line="440" w:lineRule="exact"/>
        <w:ind w:firstLine="551" w:firstLineChars="196"/>
        <w:rPr>
          <w:rFonts w:hint="eastAsia" w:ascii="宋体" w:hAnsi="宋体"/>
          <w:b/>
          <w:color w:val="000000"/>
          <w:sz w:val="28"/>
          <w:szCs w:val="28"/>
        </w:rPr>
      </w:pPr>
      <w:r>
        <w:rPr>
          <w:rFonts w:hint="eastAsia" w:ascii="宋体" w:hAnsi="宋体"/>
          <w:b/>
          <w:color w:val="000000"/>
          <w:sz w:val="28"/>
          <w:szCs w:val="28"/>
        </w:rPr>
        <w:t>四、竞赛奖励</w:t>
      </w:r>
    </w:p>
    <w:p>
      <w:pPr>
        <w:spacing w:line="440" w:lineRule="exact"/>
        <w:ind w:firstLine="480" w:firstLineChars="200"/>
        <w:rPr>
          <w:rFonts w:hint="eastAsia" w:ascii="宋体" w:hAnsi="宋体"/>
          <w:color w:val="000000"/>
          <w:sz w:val="24"/>
        </w:rPr>
      </w:pPr>
      <w:r>
        <w:rPr>
          <w:rFonts w:hint="eastAsia" w:ascii="宋体" w:hAnsi="宋体"/>
          <w:color w:val="000000"/>
          <w:sz w:val="24"/>
        </w:rPr>
        <w:t>在竞赛中获得奖励，按照取得奖项的类型和名次，以项目为单位发给指导老师和学生团队、个人或作品相应的奖金，原则上同一竞赛，团队奖和个人奖不能重复获得。指导老师奖励列入教学项目奖，由教务处核实标准。（学生获奖奖金具体情况见附件）</w:t>
      </w:r>
    </w:p>
    <w:p>
      <w:pPr>
        <w:spacing w:line="440" w:lineRule="exact"/>
        <w:ind w:firstLine="551" w:firstLineChars="196"/>
        <w:rPr>
          <w:rFonts w:hint="eastAsia" w:ascii="宋体" w:hAnsi="宋体"/>
          <w:b/>
          <w:color w:val="000000"/>
          <w:sz w:val="28"/>
          <w:szCs w:val="28"/>
        </w:rPr>
      </w:pPr>
      <w:r>
        <w:rPr>
          <w:rFonts w:hint="eastAsia" w:ascii="宋体" w:hAnsi="宋体"/>
          <w:b/>
          <w:color w:val="000000"/>
          <w:sz w:val="28"/>
          <w:szCs w:val="28"/>
        </w:rPr>
        <w:t>五、竞赛配套工作</w:t>
      </w:r>
    </w:p>
    <w:p>
      <w:pPr>
        <w:spacing w:line="440" w:lineRule="exact"/>
        <w:ind w:firstLine="480" w:firstLineChars="200"/>
        <w:rPr>
          <w:rFonts w:hint="eastAsia" w:ascii="宋体" w:hAnsi="宋体"/>
          <w:color w:val="000000"/>
          <w:sz w:val="24"/>
        </w:rPr>
      </w:pPr>
      <w:r>
        <w:rPr>
          <w:rFonts w:hint="eastAsia" w:ascii="宋体" w:hAnsi="宋体"/>
          <w:color w:val="000000"/>
          <w:sz w:val="24"/>
        </w:rPr>
        <w:t>1、竞赛过程要加强宣传，利用校园内外新闻媒体进行及时报道。</w:t>
      </w:r>
    </w:p>
    <w:p>
      <w:pPr>
        <w:spacing w:line="440" w:lineRule="exact"/>
        <w:ind w:firstLine="480" w:firstLineChars="200"/>
        <w:rPr>
          <w:rFonts w:hint="eastAsia" w:ascii="宋体" w:hAnsi="宋体"/>
          <w:color w:val="000000"/>
          <w:sz w:val="24"/>
        </w:rPr>
      </w:pPr>
      <w:r>
        <w:rPr>
          <w:rFonts w:hint="eastAsia" w:ascii="宋体" w:hAnsi="宋体"/>
          <w:color w:val="000000"/>
          <w:sz w:val="24"/>
        </w:rPr>
        <w:t>2、被选送参加全省和全国的竞赛的团队、个人或作品可直接参加我校举行的“校园十大新闻人物”和“感动校园人物”的评选。</w:t>
      </w:r>
    </w:p>
    <w:p>
      <w:pPr>
        <w:spacing w:line="440" w:lineRule="exact"/>
        <w:ind w:firstLine="480" w:firstLineChars="200"/>
        <w:rPr>
          <w:rFonts w:hint="eastAsia" w:ascii="宋体" w:hAnsi="宋体"/>
          <w:color w:val="000000"/>
          <w:sz w:val="24"/>
        </w:rPr>
      </w:pPr>
      <w:r>
        <w:rPr>
          <w:rFonts w:hint="eastAsia" w:ascii="宋体" w:hAnsi="宋体"/>
          <w:color w:val="000000"/>
          <w:sz w:val="24"/>
        </w:rPr>
        <w:t>3、对获奖个人优先考虑推优入党，评优评先。</w:t>
      </w:r>
    </w:p>
    <w:p>
      <w:pPr>
        <w:spacing w:line="440" w:lineRule="exact"/>
        <w:ind w:firstLine="551" w:firstLineChars="196"/>
        <w:rPr>
          <w:rFonts w:hint="eastAsia" w:ascii="宋体" w:hAnsi="宋体"/>
          <w:b/>
          <w:color w:val="000000"/>
          <w:sz w:val="28"/>
          <w:szCs w:val="28"/>
        </w:rPr>
      </w:pPr>
      <w:r>
        <w:rPr>
          <w:rFonts w:hint="eastAsia" w:ascii="宋体" w:hAnsi="宋体"/>
          <w:b/>
          <w:color w:val="000000"/>
          <w:sz w:val="28"/>
          <w:szCs w:val="28"/>
        </w:rPr>
        <w:t>六、其它技能竞赛，由所在学院向教务处提出申请，经审议后，酌情予以奖励。</w:t>
      </w:r>
    </w:p>
    <w:p>
      <w:pPr>
        <w:spacing w:line="440" w:lineRule="exact"/>
        <w:ind w:firstLine="480" w:firstLineChars="200"/>
        <w:rPr>
          <w:rFonts w:hint="eastAsia" w:ascii="宋体" w:hAnsi="宋体"/>
          <w:color w:val="000000"/>
          <w:sz w:val="24"/>
        </w:rPr>
      </w:pPr>
      <w:r>
        <w:rPr>
          <w:rFonts w:hint="eastAsia" w:ascii="宋体" w:hAnsi="宋体"/>
          <w:color w:val="000000"/>
          <w:sz w:val="24"/>
        </w:rPr>
        <w:t>附件：学生获得奖金的具体规定</w:t>
      </w:r>
    </w:p>
    <w:p>
      <w:pPr>
        <w:spacing w:line="440" w:lineRule="exact"/>
        <w:rPr>
          <w:rFonts w:ascii="宋体" w:hAnsi="宋体"/>
          <w:color w:val="000000"/>
          <w:sz w:val="24"/>
        </w:rPr>
      </w:pPr>
      <w:r>
        <w:rPr>
          <w:rFonts w:ascii="宋体" w:hAnsi="宋体"/>
          <w:color w:val="000000"/>
          <w:sz w:val="24"/>
        </w:rPr>
        <w:t xml:space="preserve">     </w:t>
      </w:r>
    </w:p>
    <w:p>
      <w:pPr>
        <w:spacing w:line="440" w:lineRule="exact"/>
        <w:ind w:left="4901" w:leftChars="2334" w:firstLine="360" w:firstLineChars="150"/>
        <w:rPr>
          <w:rFonts w:hint="eastAsia" w:ascii="宋体" w:hAnsi="宋体"/>
          <w:color w:val="000000"/>
          <w:sz w:val="24"/>
        </w:rPr>
      </w:pPr>
      <w:r>
        <w:rPr>
          <w:rFonts w:hint="eastAsia" w:ascii="宋体" w:hAnsi="宋体"/>
          <w:color w:val="000000"/>
          <w:sz w:val="24"/>
        </w:rPr>
        <w:t>长沙民政职业技术学院</w:t>
      </w:r>
    </w:p>
    <w:p>
      <w:pPr>
        <w:spacing w:line="440" w:lineRule="exact"/>
        <w:ind w:left="420"/>
        <w:rPr>
          <w:rFonts w:hint="eastAsia" w:ascii="宋体" w:hAnsi="宋体"/>
          <w:color w:val="000000"/>
          <w:sz w:val="24"/>
        </w:rPr>
      </w:pPr>
      <w:r>
        <w:rPr>
          <w:rFonts w:hint="eastAsia" w:ascii="宋体" w:hAnsi="宋体"/>
          <w:color w:val="000000"/>
          <w:sz w:val="24"/>
        </w:rPr>
        <w:t xml:space="preserve">                                         二</w:t>
      </w:r>
      <w:r>
        <w:rPr>
          <w:rFonts w:hint="eastAsia" w:ascii="宋体" w:hAnsi="宋体" w:cs="宋体"/>
          <w:color w:val="000000"/>
          <w:sz w:val="24"/>
        </w:rPr>
        <w:t>〇</w:t>
      </w:r>
      <w:r>
        <w:rPr>
          <w:rFonts w:hint="eastAsia" w:ascii="宋体" w:hAnsi="宋体"/>
          <w:color w:val="000000"/>
          <w:sz w:val="24"/>
        </w:rPr>
        <w:t>一三年七月十七日</w:t>
      </w:r>
    </w:p>
    <w:p>
      <w:pPr>
        <w:jc w:val="right"/>
        <w:rPr>
          <w:rFonts w:hint="eastAsia"/>
          <w:color w:val="000000"/>
        </w:rPr>
      </w:pPr>
    </w:p>
    <w:p>
      <w:pPr>
        <w:rPr>
          <w:rFonts w:hint="eastAsia"/>
          <w:color w:val="000000"/>
        </w:rPr>
      </w:pPr>
    </w:p>
    <w:p>
      <w:pPr>
        <w:rPr>
          <w:rFonts w:hint="eastAsia"/>
          <w:color w:val="000000"/>
        </w:rPr>
      </w:pPr>
    </w:p>
    <w:p>
      <w:pPr>
        <w:rPr>
          <w:rFonts w:hint="eastAsia"/>
          <w:color w:val="000000"/>
        </w:rPr>
      </w:pPr>
      <w:r>
        <w:rPr>
          <w:rFonts w:hint="eastAsia"/>
          <w:color w:val="000000"/>
        </w:rPr>
        <w:t xml:space="preserve">附件：                   </w:t>
      </w:r>
    </w:p>
    <w:p>
      <w:pPr>
        <w:ind w:firstLine="2249" w:firstLineChars="800"/>
        <w:rPr>
          <w:rFonts w:hint="eastAsia"/>
          <w:b/>
          <w:color w:val="000000"/>
          <w:sz w:val="28"/>
          <w:szCs w:val="28"/>
        </w:rPr>
      </w:pPr>
      <w:r>
        <w:rPr>
          <w:rFonts w:hint="eastAsia"/>
          <w:b/>
          <w:color w:val="000000"/>
          <w:sz w:val="28"/>
          <w:szCs w:val="28"/>
        </w:rPr>
        <w:t>学生获得奖金的具体规定</w:t>
      </w:r>
    </w:p>
    <w:p>
      <w:pPr>
        <w:rPr>
          <w:rFonts w:hint="eastAsia"/>
          <w:color w:val="000000"/>
        </w:rPr>
      </w:pPr>
      <w:r>
        <w:rPr>
          <w:rFonts w:hint="eastAsia"/>
          <w:color w:val="000000"/>
        </w:rPr>
        <w:t>一、全国大学生英语竞赛、全国大学生数学建模竞赛、全国大学生电子设计竞赛、全国大学生“挑战杯”竞赛。</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1800"/>
        <w:gridCol w:w="1792"/>
        <w:gridCol w:w="1808"/>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vAlign w:val="top"/>
          </w:tcPr>
          <w:p>
            <w:pPr>
              <w:ind w:firstLine="2625" w:firstLineChars="1250"/>
              <w:rPr>
                <w:rFonts w:hint="eastAsia"/>
                <w:color w:val="000000"/>
              </w:rPr>
            </w:pPr>
            <w:r>
              <w:rPr>
                <w:rFonts w:hint="eastAsia"/>
                <w:color w:val="000000"/>
              </w:rPr>
              <w:t>团队奖励标准（单位：元）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color w:val="000000"/>
              </w:rPr>
            </w:pPr>
            <w:r>
              <w:rPr>
                <w:rFonts w:hint="eastAsia"/>
                <w:color w:val="000000"/>
              </w:rPr>
              <w:t>举办单位</w:t>
            </w:r>
          </w:p>
        </w:tc>
        <w:tc>
          <w:tcPr>
            <w:tcW w:w="900" w:type="dxa"/>
            <w:vAlign w:val="top"/>
          </w:tcPr>
          <w:p>
            <w:pPr>
              <w:rPr>
                <w:rFonts w:hint="eastAsia"/>
                <w:color w:val="000000"/>
              </w:rPr>
            </w:pPr>
            <w:r>
              <w:rPr>
                <w:rFonts w:hint="eastAsia"/>
                <w:color w:val="000000"/>
              </w:rPr>
              <w:t>特等奖</w:t>
            </w:r>
          </w:p>
        </w:tc>
        <w:tc>
          <w:tcPr>
            <w:tcW w:w="1800" w:type="dxa"/>
            <w:vAlign w:val="top"/>
          </w:tcPr>
          <w:p>
            <w:pPr>
              <w:rPr>
                <w:rFonts w:hint="eastAsia"/>
                <w:color w:val="000000"/>
              </w:rPr>
            </w:pPr>
            <w:r>
              <w:rPr>
                <w:rFonts w:hint="eastAsia"/>
                <w:color w:val="000000"/>
              </w:rPr>
              <w:t>一等奖（第一名）</w:t>
            </w:r>
          </w:p>
        </w:tc>
        <w:tc>
          <w:tcPr>
            <w:tcW w:w="1792" w:type="dxa"/>
            <w:vAlign w:val="top"/>
          </w:tcPr>
          <w:p>
            <w:pPr>
              <w:rPr>
                <w:color w:val="000000"/>
              </w:rPr>
            </w:pPr>
            <w:r>
              <w:rPr>
                <w:rFonts w:hint="eastAsia"/>
                <w:color w:val="000000"/>
              </w:rPr>
              <w:t>二等奖（第二名）</w:t>
            </w:r>
          </w:p>
        </w:tc>
        <w:tc>
          <w:tcPr>
            <w:tcW w:w="1808" w:type="dxa"/>
            <w:vAlign w:val="top"/>
          </w:tcPr>
          <w:p>
            <w:pPr>
              <w:rPr>
                <w:color w:val="000000"/>
              </w:rPr>
            </w:pPr>
            <w:r>
              <w:rPr>
                <w:rFonts w:hint="eastAsia"/>
                <w:color w:val="000000"/>
              </w:rPr>
              <w:t>三等奖（第三名）</w:t>
            </w:r>
          </w:p>
        </w:tc>
        <w:tc>
          <w:tcPr>
            <w:tcW w:w="1034" w:type="dxa"/>
            <w:vAlign w:val="top"/>
          </w:tcPr>
          <w:p>
            <w:pPr>
              <w:rPr>
                <w:rFonts w:hint="eastAsia"/>
                <w:color w:val="000000"/>
              </w:rPr>
            </w:pPr>
            <w:r>
              <w:rPr>
                <w:rFonts w:hint="eastAsia"/>
                <w:color w:val="000000"/>
              </w:rPr>
              <w:t>优胜奖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color w:val="000000"/>
              </w:rPr>
            </w:pPr>
            <w:r>
              <w:rPr>
                <w:rFonts w:hint="eastAsia"/>
                <w:color w:val="000000"/>
              </w:rPr>
              <w:t>教育部</w:t>
            </w:r>
          </w:p>
        </w:tc>
        <w:tc>
          <w:tcPr>
            <w:tcW w:w="900" w:type="dxa"/>
            <w:vAlign w:val="top"/>
          </w:tcPr>
          <w:p>
            <w:pPr>
              <w:rPr>
                <w:rFonts w:hint="eastAsia"/>
                <w:color w:val="000000"/>
              </w:rPr>
            </w:pPr>
            <w:r>
              <w:rPr>
                <w:rFonts w:hint="eastAsia"/>
                <w:color w:val="000000"/>
              </w:rPr>
              <w:t>5000</w:t>
            </w:r>
          </w:p>
        </w:tc>
        <w:tc>
          <w:tcPr>
            <w:tcW w:w="1800" w:type="dxa"/>
            <w:vAlign w:val="top"/>
          </w:tcPr>
          <w:p>
            <w:pPr>
              <w:rPr>
                <w:rFonts w:hint="eastAsia"/>
                <w:color w:val="000000"/>
              </w:rPr>
            </w:pPr>
            <w:r>
              <w:rPr>
                <w:rFonts w:hint="eastAsia"/>
                <w:color w:val="000000"/>
              </w:rPr>
              <w:t>4000</w:t>
            </w:r>
          </w:p>
        </w:tc>
        <w:tc>
          <w:tcPr>
            <w:tcW w:w="1792" w:type="dxa"/>
            <w:vAlign w:val="top"/>
          </w:tcPr>
          <w:p>
            <w:pPr>
              <w:rPr>
                <w:rFonts w:hint="eastAsia"/>
                <w:color w:val="000000"/>
              </w:rPr>
            </w:pPr>
            <w:r>
              <w:rPr>
                <w:rFonts w:hint="eastAsia"/>
                <w:color w:val="000000"/>
              </w:rPr>
              <w:t>3000</w:t>
            </w:r>
          </w:p>
        </w:tc>
        <w:tc>
          <w:tcPr>
            <w:tcW w:w="1808" w:type="dxa"/>
            <w:vAlign w:val="top"/>
          </w:tcPr>
          <w:p>
            <w:pPr>
              <w:rPr>
                <w:rFonts w:hint="eastAsia"/>
                <w:color w:val="000000"/>
              </w:rPr>
            </w:pPr>
            <w:r>
              <w:rPr>
                <w:rFonts w:hint="eastAsia"/>
                <w:color w:val="000000"/>
              </w:rPr>
              <w:t>2000</w:t>
            </w:r>
          </w:p>
        </w:tc>
        <w:tc>
          <w:tcPr>
            <w:tcW w:w="1034" w:type="dxa"/>
            <w:vAlign w:val="top"/>
          </w:tcPr>
          <w:p>
            <w:pPr>
              <w:rPr>
                <w:rFonts w:hint="eastAsia"/>
                <w:color w:val="000000"/>
              </w:rPr>
            </w:pPr>
            <w:r>
              <w:rPr>
                <w:rFonts w:hint="eastAsia"/>
                <w:color w:val="00000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color w:val="000000"/>
              </w:rPr>
            </w:pPr>
            <w:r>
              <w:rPr>
                <w:rFonts w:hint="eastAsia"/>
                <w:color w:val="000000"/>
              </w:rPr>
              <w:t>省教育厅</w:t>
            </w:r>
          </w:p>
        </w:tc>
        <w:tc>
          <w:tcPr>
            <w:tcW w:w="900" w:type="dxa"/>
            <w:vAlign w:val="top"/>
          </w:tcPr>
          <w:p>
            <w:pPr>
              <w:rPr>
                <w:rFonts w:hint="eastAsia"/>
                <w:color w:val="000000"/>
              </w:rPr>
            </w:pPr>
            <w:r>
              <w:rPr>
                <w:rFonts w:hint="eastAsia"/>
                <w:color w:val="000000"/>
              </w:rPr>
              <w:t>4000</w:t>
            </w:r>
          </w:p>
        </w:tc>
        <w:tc>
          <w:tcPr>
            <w:tcW w:w="1800" w:type="dxa"/>
            <w:vAlign w:val="top"/>
          </w:tcPr>
          <w:p>
            <w:pPr>
              <w:rPr>
                <w:rFonts w:hint="eastAsia"/>
                <w:color w:val="000000"/>
              </w:rPr>
            </w:pPr>
            <w:r>
              <w:rPr>
                <w:rFonts w:hint="eastAsia"/>
                <w:color w:val="000000"/>
              </w:rPr>
              <w:t>3000</w:t>
            </w:r>
          </w:p>
        </w:tc>
        <w:tc>
          <w:tcPr>
            <w:tcW w:w="1792" w:type="dxa"/>
            <w:vAlign w:val="top"/>
          </w:tcPr>
          <w:p>
            <w:pPr>
              <w:rPr>
                <w:rFonts w:hint="eastAsia"/>
                <w:color w:val="000000"/>
              </w:rPr>
            </w:pPr>
            <w:r>
              <w:rPr>
                <w:rFonts w:hint="eastAsia"/>
                <w:color w:val="000000"/>
              </w:rPr>
              <w:t>2000</w:t>
            </w:r>
          </w:p>
        </w:tc>
        <w:tc>
          <w:tcPr>
            <w:tcW w:w="1808" w:type="dxa"/>
            <w:vAlign w:val="top"/>
          </w:tcPr>
          <w:p>
            <w:pPr>
              <w:rPr>
                <w:rFonts w:hint="eastAsia"/>
                <w:color w:val="000000"/>
              </w:rPr>
            </w:pPr>
            <w:r>
              <w:rPr>
                <w:rFonts w:hint="eastAsia"/>
                <w:color w:val="000000"/>
              </w:rPr>
              <w:t>1000</w:t>
            </w:r>
          </w:p>
        </w:tc>
        <w:tc>
          <w:tcPr>
            <w:tcW w:w="1034" w:type="dxa"/>
            <w:vAlign w:val="top"/>
          </w:tcPr>
          <w:p>
            <w:pPr>
              <w:rPr>
                <w:rFonts w:hint="eastAsia"/>
                <w:color w:val="000000"/>
              </w:rPr>
            </w:pPr>
            <w:r>
              <w:rPr>
                <w:rFonts w:hint="eastAsia"/>
                <w:color w:val="000000"/>
              </w:rPr>
              <w:t>500</w:t>
            </w:r>
          </w:p>
        </w:tc>
      </w:tr>
    </w:tbl>
    <w:p>
      <w:pPr>
        <w:rPr>
          <w:rFonts w:hint="eastAsia"/>
          <w:color w:val="000000"/>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1800"/>
        <w:gridCol w:w="1792"/>
        <w:gridCol w:w="1808"/>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vAlign w:val="top"/>
          </w:tcPr>
          <w:p>
            <w:pPr>
              <w:ind w:firstLine="2625" w:firstLineChars="1250"/>
              <w:rPr>
                <w:rFonts w:hint="eastAsia"/>
                <w:color w:val="000000"/>
              </w:rPr>
            </w:pPr>
            <w:r>
              <w:rPr>
                <w:rFonts w:hint="eastAsia"/>
                <w:color w:val="000000"/>
              </w:rPr>
              <w:t>个人奖励标准（单位：元）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color w:val="000000"/>
              </w:rPr>
            </w:pPr>
            <w:r>
              <w:rPr>
                <w:rFonts w:hint="eastAsia"/>
                <w:color w:val="000000"/>
              </w:rPr>
              <w:t>举办单位</w:t>
            </w:r>
          </w:p>
        </w:tc>
        <w:tc>
          <w:tcPr>
            <w:tcW w:w="900" w:type="dxa"/>
            <w:vAlign w:val="top"/>
          </w:tcPr>
          <w:p>
            <w:pPr>
              <w:rPr>
                <w:rFonts w:hint="eastAsia"/>
                <w:color w:val="000000"/>
              </w:rPr>
            </w:pPr>
            <w:r>
              <w:rPr>
                <w:rFonts w:hint="eastAsia"/>
                <w:color w:val="000000"/>
              </w:rPr>
              <w:t>特等奖</w:t>
            </w:r>
          </w:p>
        </w:tc>
        <w:tc>
          <w:tcPr>
            <w:tcW w:w="1800" w:type="dxa"/>
            <w:vAlign w:val="top"/>
          </w:tcPr>
          <w:p>
            <w:pPr>
              <w:rPr>
                <w:rFonts w:hint="eastAsia"/>
                <w:color w:val="000000"/>
              </w:rPr>
            </w:pPr>
            <w:r>
              <w:rPr>
                <w:rFonts w:hint="eastAsia"/>
                <w:color w:val="000000"/>
              </w:rPr>
              <w:t>一等奖（第一名）</w:t>
            </w:r>
          </w:p>
        </w:tc>
        <w:tc>
          <w:tcPr>
            <w:tcW w:w="1792" w:type="dxa"/>
            <w:vAlign w:val="top"/>
          </w:tcPr>
          <w:p>
            <w:pPr>
              <w:rPr>
                <w:color w:val="000000"/>
              </w:rPr>
            </w:pPr>
            <w:r>
              <w:rPr>
                <w:rFonts w:hint="eastAsia"/>
                <w:color w:val="000000"/>
              </w:rPr>
              <w:t>二等奖（第二名）</w:t>
            </w:r>
          </w:p>
        </w:tc>
        <w:tc>
          <w:tcPr>
            <w:tcW w:w="1808" w:type="dxa"/>
            <w:vAlign w:val="top"/>
          </w:tcPr>
          <w:p>
            <w:pPr>
              <w:rPr>
                <w:color w:val="000000"/>
              </w:rPr>
            </w:pPr>
            <w:r>
              <w:rPr>
                <w:rFonts w:hint="eastAsia"/>
                <w:color w:val="000000"/>
              </w:rPr>
              <w:t>三等奖（第三名）</w:t>
            </w:r>
          </w:p>
        </w:tc>
        <w:tc>
          <w:tcPr>
            <w:tcW w:w="1034" w:type="dxa"/>
            <w:vAlign w:val="top"/>
          </w:tcPr>
          <w:p>
            <w:pPr>
              <w:rPr>
                <w:rFonts w:hint="eastAsia"/>
                <w:color w:val="000000"/>
              </w:rPr>
            </w:pPr>
            <w:r>
              <w:rPr>
                <w:rFonts w:hint="eastAsia"/>
                <w:color w:val="000000"/>
              </w:rPr>
              <w:t>优胜奖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color w:val="000000"/>
              </w:rPr>
            </w:pPr>
            <w:r>
              <w:rPr>
                <w:rFonts w:hint="eastAsia"/>
                <w:color w:val="000000"/>
              </w:rPr>
              <w:t>教育部</w:t>
            </w:r>
          </w:p>
        </w:tc>
        <w:tc>
          <w:tcPr>
            <w:tcW w:w="900" w:type="dxa"/>
            <w:vAlign w:val="top"/>
          </w:tcPr>
          <w:p>
            <w:pPr>
              <w:rPr>
                <w:rFonts w:hint="eastAsia"/>
                <w:color w:val="000000"/>
              </w:rPr>
            </w:pPr>
            <w:r>
              <w:rPr>
                <w:rFonts w:hint="eastAsia"/>
                <w:color w:val="000000"/>
              </w:rPr>
              <w:t>1500</w:t>
            </w:r>
          </w:p>
        </w:tc>
        <w:tc>
          <w:tcPr>
            <w:tcW w:w="1800" w:type="dxa"/>
            <w:vAlign w:val="top"/>
          </w:tcPr>
          <w:p>
            <w:pPr>
              <w:rPr>
                <w:rFonts w:hint="eastAsia"/>
                <w:color w:val="000000"/>
              </w:rPr>
            </w:pPr>
            <w:r>
              <w:rPr>
                <w:rFonts w:hint="eastAsia"/>
                <w:color w:val="000000"/>
              </w:rPr>
              <w:t>1000</w:t>
            </w:r>
          </w:p>
        </w:tc>
        <w:tc>
          <w:tcPr>
            <w:tcW w:w="1792" w:type="dxa"/>
            <w:vAlign w:val="top"/>
          </w:tcPr>
          <w:p>
            <w:pPr>
              <w:rPr>
                <w:rFonts w:hint="eastAsia"/>
                <w:color w:val="000000"/>
              </w:rPr>
            </w:pPr>
            <w:r>
              <w:rPr>
                <w:rFonts w:hint="eastAsia"/>
                <w:color w:val="000000"/>
              </w:rPr>
              <w:t>800</w:t>
            </w:r>
          </w:p>
        </w:tc>
        <w:tc>
          <w:tcPr>
            <w:tcW w:w="1808" w:type="dxa"/>
            <w:vAlign w:val="top"/>
          </w:tcPr>
          <w:p>
            <w:pPr>
              <w:rPr>
                <w:rFonts w:hint="eastAsia"/>
                <w:color w:val="000000"/>
              </w:rPr>
            </w:pPr>
            <w:r>
              <w:rPr>
                <w:rFonts w:hint="eastAsia"/>
                <w:color w:val="000000"/>
              </w:rPr>
              <w:t>600</w:t>
            </w:r>
          </w:p>
        </w:tc>
        <w:tc>
          <w:tcPr>
            <w:tcW w:w="1034" w:type="dxa"/>
            <w:vAlign w:val="top"/>
          </w:tcPr>
          <w:p>
            <w:pPr>
              <w:rPr>
                <w:rFonts w:hint="eastAsia"/>
                <w:color w:val="000000"/>
              </w:rPr>
            </w:pPr>
            <w:r>
              <w:rPr>
                <w:rFonts w:hint="eastAsia"/>
                <w:color w:val="00000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color w:val="000000"/>
              </w:rPr>
            </w:pPr>
            <w:r>
              <w:rPr>
                <w:rFonts w:hint="eastAsia"/>
                <w:color w:val="000000"/>
              </w:rPr>
              <w:t>省教育厅</w:t>
            </w:r>
          </w:p>
        </w:tc>
        <w:tc>
          <w:tcPr>
            <w:tcW w:w="900" w:type="dxa"/>
            <w:vAlign w:val="top"/>
          </w:tcPr>
          <w:p>
            <w:pPr>
              <w:rPr>
                <w:rFonts w:hint="eastAsia"/>
                <w:color w:val="000000"/>
              </w:rPr>
            </w:pPr>
            <w:r>
              <w:rPr>
                <w:rFonts w:hint="eastAsia"/>
                <w:color w:val="000000"/>
              </w:rPr>
              <w:t>1000</w:t>
            </w:r>
          </w:p>
        </w:tc>
        <w:tc>
          <w:tcPr>
            <w:tcW w:w="1800" w:type="dxa"/>
            <w:vAlign w:val="top"/>
          </w:tcPr>
          <w:p>
            <w:pPr>
              <w:rPr>
                <w:rFonts w:hint="eastAsia"/>
                <w:color w:val="000000"/>
              </w:rPr>
            </w:pPr>
            <w:r>
              <w:rPr>
                <w:rFonts w:hint="eastAsia"/>
                <w:color w:val="000000"/>
              </w:rPr>
              <w:t>800</w:t>
            </w:r>
          </w:p>
        </w:tc>
        <w:tc>
          <w:tcPr>
            <w:tcW w:w="1792" w:type="dxa"/>
            <w:vAlign w:val="top"/>
          </w:tcPr>
          <w:p>
            <w:pPr>
              <w:rPr>
                <w:rFonts w:hint="eastAsia"/>
                <w:color w:val="000000"/>
              </w:rPr>
            </w:pPr>
            <w:r>
              <w:rPr>
                <w:rFonts w:hint="eastAsia"/>
                <w:color w:val="000000"/>
              </w:rPr>
              <w:t>600</w:t>
            </w:r>
          </w:p>
        </w:tc>
        <w:tc>
          <w:tcPr>
            <w:tcW w:w="1808" w:type="dxa"/>
            <w:vAlign w:val="top"/>
          </w:tcPr>
          <w:p>
            <w:pPr>
              <w:rPr>
                <w:rFonts w:hint="eastAsia"/>
                <w:color w:val="000000"/>
              </w:rPr>
            </w:pPr>
            <w:r>
              <w:rPr>
                <w:rFonts w:hint="eastAsia"/>
                <w:color w:val="000000"/>
              </w:rPr>
              <w:t>400</w:t>
            </w:r>
          </w:p>
        </w:tc>
        <w:tc>
          <w:tcPr>
            <w:tcW w:w="1034" w:type="dxa"/>
            <w:vAlign w:val="top"/>
          </w:tcPr>
          <w:p>
            <w:pPr>
              <w:rPr>
                <w:rFonts w:hint="eastAsia"/>
                <w:color w:val="000000"/>
              </w:rPr>
            </w:pPr>
            <w:r>
              <w:rPr>
                <w:rFonts w:hint="eastAsia"/>
                <w:color w:val="000000"/>
              </w:rPr>
              <w:t>200</w:t>
            </w:r>
          </w:p>
        </w:tc>
      </w:tr>
    </w:tbl>
    <w:p>
      <w:pPr>
        <w:rPr>
          <w:rFonts w:hint="eastAsia"/>
          <w:color w:val="000000"/>
        </w:rPr>
      </w:pPr>
      <w:r>
        <w:rPr>
          <w:rFonts w:hint="eastAsia"/>
          <w:color w:val="000000"/>
        </w:rPr>
        <w:t>二、其他类型的竞赛奖励按以下标准执行</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1800"/>
        <w:gridCol w:w="1792"/>
        <w:gridCol w:w="1808"/>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vAlign w:val="top"/>
          </w:tcPr>
          <w:p>
            <w:pPr>
              <w:ind w:firstLine="2625" w:firstLineChars="1250"/>
              <w:rPr>
                <w:rFonts w:hint="eastAsia"/>
                <w:color w:val="000000"/>
              </w:rPr>
            </w:pPr>
            <w:r>
              <w:rPr>
                <w:rFonts w:hint="eastAsia"/>
                <w:color w:val="000000"/>
              </w:rPr>
              <w:t>团队奖励标准（单位：元）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color w:val="000000"/>
              </w:rPr>
            </w:pPr>
            <w:r>
              <w:rPr>
                <w:rFonts w:hint="eastAsia"/>
                <w:color w:val="000000"/>
              </w:rPr>
              <w:t>举办单位</w:t>
            </w:r>
          </w:p>
        </w:tc>
        <w:tc>
          <w:tcPr>
            <w:tcW w:w="900" w:type="dxa"/>
            <w:vAlign w:val="top"/>
          </w:tcPr>
          <w:p>
            <w:pPr>
              <w:rPr>
                <w:rFonts w:hint="eastAsia"/>
                <w:color w:val="000000"/>
              </w:rPr>
            </w:pPr>
            <w:r>
              <w:rPr>
                <w:rFonts w:hint="eastAsia"/>
                <w:color w:val="000000"/>
              </w:rPr>
              <w:t>特等奖</w:t>
            </w:r>
          </w:p>
        </w:tc>
        <w:tc>
          <w:tcPr>
            <w:tcW w:w="1800" w:type="dxa"/>
            <w:vAlign w:val="top"/>
          </w:tcPr>
          <w:p>
            <w:pPr>
              <w:rPr>
                <w:rFonts w:hint="eastAsia"/>
                <w:color w:val="000000"/>
              </w:rPr>
            </w:pPr>
            <w:r>
              <w:rPr>
                <w:rFonts w:hint="eastAsia"/>
                <w:color w:val="000000"/>
              </w:rPr>
              <w:t>一等奖（第一名）</w:t>
            </w:r>
          </w:p>
        </w:tc>
        <w:tc>
          <w:tcPr>
            <w:tcW w:w="1792" w:type="dxa"/>
            <w:vAlign w:val="top"/>
          </w:tcPr>
          <w:p>
            <w:pPr>
              <w:rPr>
                <w:color w:val="000000"/>
              </w:rPr>
            </w:pPr>
            <w:r>
              <w:rPr>
                <w:rFonts w:hint="eastAsia"/>
                <w:color w:val="000000"/>
              </w:rPr>
              <w:t>二等奖（第二名）</w:t>
            </w:r>
          </w:p>
        </w:tc>
        <w:tc>
          <w:tcPr>
            <w:tcW w:w="1808" w:type="dxa"/>
            <w:vAlign w:val="top"/>
          </w:tcPr>
          <w:p>
            <w:pPr>
              <w:rPr>
                <w:color w:val="000000"/>
              </w:rPr>
            </w:pPr>
            <w:r>
              <w:rPr>
                <w:rFonts w:hint="eastAsia"/>
                <w:color w:val="000000"/>
              </w:rPr>
              <w:t>三等奖（第三名）</w:t>
            </w:r>
          </w:p>
        </w:tc>
        <w:tc>
          <w:tcPr>
            <w:tcW w:w="1034" w:type="dxa"/>
            <w:vAlign w:val="top"/>
          </w:tcPr>
          <w:p>
            <w:pPr>
              <w:rPr>
                <w:rFonts w:hint="eastAsia"/>
                <w:color w:val="000000"/>
              </w:rPr>
            </w:pPr>
            <w:r>
              <w:rPr>
                <w:rFonts w:hint="eastAsia"/>
                <w:color w:val="000000"/>
              </w:rPr>
              <w:t>优胜奖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color w:val="000000"/>
              </w:rPr>
            </w:pPr>
            <w:r>
              <w:rPr>
                <w:rFonts w:hint="eastAsia"/>
                <w:color w:val="000000"/>
              </w:rPr>
              <w:t>国家部委</w:t>
            </w:r>
          </w:p>
        </w:tc>
        <w:tc>
          <w:tcPr>
            <w:tcW w:w="900" w:type="dxa"/>
            <w:vAlign w:val="top"/>
          </w:tcPr>
          <w:p>
            <w:pPr>
              <w:rPr>
                <w:rFonts w:hint="eastAsia"/>
                <w:color w:val="000000"/>
              </w:rPr>
            </w:pPr>
            <w:r>
              <w:rPr>
                <w:rFonts w:hint="eastAsia"/>
                <w:color w:val="000000"/>
              </w:rPr>
              <w:t>1500</w:t>
            </w:r>
          </w:p>
        </w:tc>
        <w:tc>
          <w:tcPr>
            <w:tcW w:w="1800" w:type="dxa"/>
            <w:vAlign w:val="top"/>
          </w:tcPr>
          <w:p>
            <w:pPr>
              <w:rPr>
                <w:rFonts w:hint="eastAsia"/>
                <w:color w:val="000000"/>
              </w:rPr>
            </w:pPr>
            <w:r>
              <w:rPr>
                <w:rFonts w:hint="eastAsia"/>
                <w:color w:val="000000"/>
              </w:rPr>
              <w:t>1000</w:t>
            </w:r>
          </w:p>
        </w:tc>
        <w:tc>
          <w:tcPr>
            <w:tcW w:w="1792" w:type="dxa"/>
            <w:vAlign w:val="top"/>
          </w:tcPr>
          <w:p>
            <w:pPr>
              <w:rPr>
                <w:rFonts w:hint="eastAsia"/>
                <w:color w:val="000000"/>
              </w:rPr>
            </w:pPr>
            <w:r>
              <w:rPr>
                <w:rFonts w:hint="eastAsia"/>
                <w:color w:val="000000"/>
              </w:rPr>
              <w:t>800</w:t>
            </w:r>
          </w:p>
        </w:tc>
        <w:tc>
          <w:tcPr>
            <w:tcW w:w="1808" w:type="dxa"/>
            <w:vAlign w:val="top"/>
          </w:tcPr>
          <w:p>
            <w:pPr>
              <w:rPr>
                <w:rFonts w:hint="eastAsia"/>
                <w:color w:val="000000"/>
              </w:rPr>
            </w:pPr>
            <w:r>
              <w:rPr>
                <w:rFonts w:hint="eastAsia"/>
                <w:color w:val="000000"/>
              </w:rPr>
              <w:t>600</w:t>
            </w:r>
          </w:p>
        </w:tc>
        <w:tc>
          <w:tcPr>
            <w:tcW w:w="1034" w:type="dxa"/>
            <w:vAlign w:val="top"/>
          </w:tcPr>
          <w:p>
            <w:pPr>
              <w:rPr>
                <w:rFonts w:hint="eastAsia"/>
                <w:color w:val="000000"/>
              </w:rPr>
            </w:pPr>
            <w:r>
              <w:rPr>
                <w:rFonts w:hint="eastAsia"/>
                <w:color w:val="00000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color w:val="000000"/>
              </w:rPr>
            </w:pPr>
            <w:r>
              <w:rPr>
                <w:rFonts w:hint="eastAsia"/>
                <w:color w:val="000000"/>
              </w:rPr>
              <w:t>省厅委</w:t>
            </w:r>
          </w:p>
        </w:tc>
        <w:tc>
          <w:tcPr>
            <w:tcW w:w="900" w:type="dxa"/>
            <w:vAlign w:val="top"/>
          </w:tcPr>
          <w:p>
            <w:pPr>
              <w:rPr>
                <w:rFonts w:hint="eastAsia"/>
                <w:color w:val="000000"/>
              </w:rPr>
            </w:pPr>
            <w:r>
              <w:rPr>
                <w:rFonts w:hint="eastAsia"/>
                <w:color w:val="000000"/>
              </w:rPr>
              <w:t>1000</w:t>
            </w:r>
          </w:p>
        </w:tc>
        <w:tc>
          <w:tcPr>
            <w:tcW w:w="1800" w:type="dxa"/>
            <w:vAlign w:val="top"/>
          </w:tcPr>
          <w:p>
            <w:pPr>
              <w:rPr>
                <w:rFonts w:hint="eastAsia"/>
                <w:color w:val="000000"/>
              </w:rPr>
            </w:pPr>
            <w:r>
              <w:rPr>
                <w:rFonts w:hint="eastAsia"/>
                <w:color w:val="000000"/>
              </w:rPr>
              <w:t>800</w:t>
            </w:r>
          </w:p>
        </w:tc>
        <w:tc>
          <w:tcPr>
            <w:tcW w:w="1792" w:type="dxa"/>
            <w:vAlign w:val="top"/>
          </w:tcPr>
          <w:p>
            <w:pPr>
              <w:rPr>
                <w:rFonts w:hint="eastAsia"/>
                <w:color w:val="000000"/>
              </w:rPr>
            </w:pPr>
            <w:r>
              <w:rPr>
                <w:rFonts w:hint="eastAsia"/>
                <w:color w:val="000000"/>
              </w:rPr>
              <w:t>600</w:t>
            </w:r>
          </w:p>
        </w:tc>
        <w:tc>
          <w:tcPr>
            <w:tcW w:w="1808" w:type="dxa"/>
            <w:vAlign w:val="top"/>
          </w:tcPr>
          <w:p>
            <w:pPr>
              <w:rPr>
                <w:rFonts w:hint="eastAsia"/>
                <w:color w:val="000000"/>
              </w:rPr>
            </w:pPr>
            <w:r>
              <w:rPr>
                <w:rFonts w:hint="eastAsia"/>
                <w:color w:val="000000"/>
              </w:rPr>
              <w:t>400</w:t>
            </w:r>
          </w:p>
        </w:tc>
        <w:tc>
          <w:tcPr>
            <w:tcW w:w="1034" w:type="dxa"/>
            <w:vAlign w:val="top"/>
          </w:tcPr>
          <w:p>
            <w:pPr>
              <w:rPr>
                <w:rFonts w:hint="eastAsia"/>
                <w:color w:val="000000"/>
              </w:rPr>
            </w:pPr>
            <w:r>
              <w:rPr>
                <w:rFonts w:hint="eastAsia"/>
                <w:color w:val="00000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color w:val="000000"/>
              </w:rPr>
            </w:pPr>
            <w:r>
              <w:rPr>
                <w:rFonts w:hint="eastAsia"/>
                <w:color w:val="000000"/>
              </w:rPr>
              <w:t>国家级学会、协会</w:t>
            </w:r>
          </w:p>
        </w:tc>
        <w:tc>
          <w:tcPr>
            <w:tcW w:w="900" w:type="dxa"/>
            <w:vAlign w:val="top"/>
          </w:tcPr>
          <w:p>
            <w:pPr>
              <w:rPr>
                <w:rFonts w:hint="eastAsia"/>
                <w:color w:val="000000"/>
              </w:rPr>
            </w:pPr>
            <w:r>
              <w:rPr>
                <w:rFonts w:hint="eastAsia"/>
                <w:color w:val="000000"/>
              </w:rPr>
              <w:t>600</w:t>
            </w:r>
          </w:p>
        </w:tc>
        <w:tc>
          <w:tcPr>
            <w:tcW w:w="1800" w:type="dxa"/>
            <w:vAlign w:val="top"/>
          </w:tcPr>
          <w:p>
            <w:pPr>
              <w:rPr>
                <w:rFonts w:hint="eastAsia"/>
                <w:color w:val="000000"/>
              </w:rPr>
            </w:pPr>
            <w:r>
              <w:rPr>
                <w:rFonts w:hint="eastAsia"/>
                <w:color w:val="000000"/>
              </w:rPr>
              <w:t>400</w:t>
            </w:r>
          </w:p>
        </w:tc>
        <w:tc>
          <w:tcPr>
            <w:tcW w:w="1792" w:type="dxa"/>
            <w:vAlign w:val="top"/>
          </w:tcPr>
          <w:p>
            <w:pPr>
              <w:rPr>
                <w:rFonts w:hint="eastAsia"/>
                <w:color w:val="000000"/>
              </w:rPr>
            </w:pPr>
            <w:r>
              <w:rPr>
                <w:rFonts w:hint="eastAsia"/>
                <w:color w:val="000000"/>
              </w:rPr>
              <w:t>200</w:t>
            </w:r>
          </w:p>
        </w:tc>
        <w:tc>
          <w:tcPr>
            <w:tcW w:w="1808" w:type="dxa"/>
            <w:vAlign w:val="top"/>
          </w:tcPr>
          <w:p>
            <w:pPr>
              <w:rPr>
                <w:rFonts w:hint="eastAsia"/>
                <w:color w:val="000000"/>
              </w:rPr>
            </w:pPr>
            <w:r>
              <w:rPr>
                <w:rFonts w:hint="eastAsia"/>
                <w:color w:val="000000"/>
              </w:rPr>
              <w:t>150</w:t>
            </w:r>
          </w:p>
        </w:tc>
        <w:tc>
          <w:tcPr>
            <w:tcW w:w="1034" w:type="dxa"/>
            <w:vAlign w:val="top"/>
          </w:tcPr>
          <w:p>
            <w:pPr>
              <w:rPr>
                <w:rFonts w:hint="eastAsia"/>
                <w:color w:val="000000"/>
              </w:rPr>
            </w:pPr>
            <w:r>
              <w:rPr>
                <w:rFonts w:hint="eastAsia"/>
                <w:color w:val="00000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color w:val="000000"/>
              </w:rPr>
            </w:pPr>
            <w:r>
              <w:rPr>
                <w:rFonts w:hint="eastAsia"/>
                <w:color w:val="000000"/>
              </w:rPr>
              <w:t>省级学会、协会</w:t>
            </w:r>
          </w:p>
        </w:tc>
        <w:tc>
          <w:tcPr>
            <w:tcW w:w="900" w:type="dxa"/>
            <w:vAlign w:val="top"/>
          </w:tcPr>
          <w:p>
            <w:pPr>
              <w:rPr>
                <w:rFonts w:hint="eastAsia"/>
                <w:color w:val="000000"/>
              </w:rPr>
            </w:pPr>
            <w:r>
              <w:rPr>
                <w:rFonts w:hint="eastAsia"/>
                <w:color w:val="000000"/>
              </w:rPr>
              <w:t>400</w:t>
            </w:r>
          </w:p>
        </w:tc>
        <w:tc>
          <w:tcPr>
            <w:tcW w:w="1800" w:type="dxa"/>
            <w:vAlign w:val="top"/>
          </w:tcPr>
          <w:p>
            <w:pPr>
              <w:rPr>
                <w:rFonts w:hint="eastAsia"/>
                <w:color w:val="000000"/>
              </w:rPr>
            </w:pPr>
            <w:r>
              <w:rPr>
                <w:rFonts w:hint="eastAsia"/>
                <w:color w:val="000000"/>
              </w:rPr>
              <w:t>200</w:t>
            </w:r>
          </w:p>
        </w:tc>
        <w:tc>
          <w:tcPr>
            <w:tcW w:w="1792" w:type="dxa"/>
            <w:vAlign w:val="top"/>
          </w:tcPr>
          <w:p>
            <w:pPr>
              <w:rPr>
                <w:rFonts w:hint="eastAsia"/>
                <w:color w:val="000000"/>
              </w:rPr>
            </w:pPr>
            <w:r>
              <w:rPr>
                <w:rFonts w:hint="eastAsia"/>
                <w:color w:val="000000"/>
              </w:rPr>
              <w:t>150</w:t>
            </w:r>
          </w:p>
        </w:tc>
        <w:tc>
          <w:tcPr>
            <w:tcW w:w="1808" w:type="dxa"/>
            <w:vAlign w:val="top"/>
          </w:tcPr>
          <w:p>
            <w:pPr>
              <w:rPr>
                <w:rFonts w:hint="eastAsia"/>
                <w:color w:val="000000"/>
              </w:rPr>
            </w:pPr>
            <w:r>
              <w:rPr>
                <w:rFonts w:hint="eastAsia"/>
                <w:color w:val="000000"/>
              </w:rPr>
              <w:t>100</w:t>
            </w:r>
          </w:p>
        </w:tc>
        <w:tc>
          <w:tcPr>
            <w:tcW w:w="1034" w:type="dxa"/>
            <w:vAlign w:val="top"/>
          </w:tcPr>
          <w:p>
            <w:pPr>
              <w:rPr>
                <w:rFonts w:hint="eastAsia"/>
                <w:color w:val="000000"/>
              </w:rPr>
            </w:pPr>
            <w:r>
              <w:rPr>
                <w:rFonts w:hint="eastAsia"/>
                <w:color w:val="000000"/>
              </w:rPr>
              <w:t>50</w:t>
            </w:r>
          </w:p>
        </w:tc>
      </w:tr>
    </w:tbl>
    <w:p>
      <w:pPr>
        <w:rPr>
          <w:rFonts w:hint="eastAsia"/>
          <w:color w:val="000000"/>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1800"/>
        <w:gridCol w:w="1792"/>
        <w:gridCol w:w="1808"/>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vAlign w:val="top"/>
          </w:tcPr>
          <w:p>
            <w:pPr>
              <w:ind w:firstLine="2625" w:firstLineChars="1250"/>
              <w:rPr>
                <w:rFonts w:hint="eastAsia"/>
                <w:color w:val="000000"/>
              </w:rPr>
            </w:pPr>
            <w:r>
              <w:rPr>
                <w:rFonts w:hint="eastAsia"/>
                <w:color w:val="000000"/>
              </w:rPr>
              <w:t>个人奖励标准（单位：元）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color w:val="000000"/>
              </w:rPr>
            </w:pPr>
            <w:r>
              <w:rPr>
                <w:rFonts w:hint="eastAsia"/>
                <w:color w:val="000000"/>
              </w:rPr>
              <w:t>举办单位</w:t>
            </w:r>
          </w:p>
        </w:tc>
        <w:tc>
          <w:tcPr>
            <w:tcW w:w="900" w:type="dxa"/>
            <w:vAlign w:val="top"/>
          </w:tcPr>
          <w:p>
            <w:pPr>
              <w:rPr>
                <w:rFonts w:hint="eastAsia"/>
                <w:color w:val="000000"/>
              </w:rPr>
            </w:pPr>
            <w:r>
              <w:rPr>
                <w:rFonts w:hint="eastAsia"/>
                <w:color w:val="000000"/>
              </w:rPr>
              <w:t>特等奖</w:t>
            </w:r>
          </w:p>
        </w:tc>
        <w:tc>
          <w:tcPr>
            <w:tcW w:w="1800" w:type="dxa"/>
            <w:vAlign w:val="top"/>
          </w:tcPr>
          <w:p>
            <w:pPr>
              <w:rPr>
                <w:rFonts w:hint="eastAsia"/>
                <w:color w:val="000000"/>
              </w:rPr>
            </w:pPr>
            <w:r>
              <w:rPr>
                <w:rFonts w:hint="eastAsia"/>
                <w:color w:val="000000"/>
              </w:rPr>
              <w:t>一等奖（第一名）</w:t>
            </w:r>
          </w:p>
        </w:tc>
        <w:tc>
          <w:tcPr>
            <w:tcW w:w="1792" w:type="dxa"/>
            <w:vAlign w:val="top"/>
          </w:tcPr>
          <w:p>
            <w:pPr>
              <w:rPr>
                <w:color w:val="000000"/>
              </w:rPr>
            </w:pPr>
            <w:r>
              <w:rPr>
                <w:rFonts w:hint="eastAsia"/>
                <w:color w:val="000000"/>
              </w:rPr>
              <w:t>二等奖（第二名）</w:t>
            </w:r>
          </w:p>
        </w:tc>
        <w:tc>
          <w:tcPr>
            <w:tcW w:w="1808" w:type="dxa"/>
            <w:vAlign w:val="top"/>
          </w:tcPr>
          <w:p>
            <w:pPr>
              <w:rPr>
                <w:color w:val="000000"/>
              </w:rPr>
            </w:pPr>
            <w:r>
              <w:rPr>
                <w:rFonts w:hint="eastAsia"/>
                <w:color w:val="000000"/>
              </w:rPr>
              <w:t>三等奖（第三名）</w:t>
            </w:r>
          </w:p>
        </w:tc>
        <w:tc>
          <w:tcPr>
            <w:tcW w:w="1034" w:type="dxa"/>
            <w:vAlign w:val="top"/>
          </w:tcPr>
          <w:p>
            <w:pPr>
              <w:rPr>
                <w:rFonts w:hint="eastAsia"/>
                <w:color w:val="000000"/>
              </w:rPr>
            </w:pPr>
            <w:r>
              <w:rPr>
                <w:rFonts w:hint="eastAsia"/>
                <w:color w:val="000000"/>
              </w:rPr>
              <w:t>优胜奖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color w:val="000000"/>
              </w:rPr>
            </w:pPr>
            <w:r>
              <w:rPr>
                <w:rFonts w:hint="eastAsia"/>
                <w:color w:val="000000"/>
              </w:rPr>
              <w:t>国家部委</w:t>
            </w:r>
          </w:p>
        </w:tc>
        <w:tc>
          <w:tcPr>
            <w:tcW w:w="900" w:type="dxa"/>
            <w:vAlign w:val="top"/>
          </w:tcPr>
          <w:p>
            <w:pPr>
              <w:rPr>
                <w:rFonts w:hint="eastAsia"/>
                <w:color w:val="000000"/>
              </w:rPr>
            </w:pPr>
            <w:r>
              <w:rPr>
                <w:rFonts w:hint="eastAsia"/>
                <w:color w:val="000000"/>
              </w:rPr>
              <w:t>800</w:t>
            </w:r>
          </w:p>
        </w:tc>
        <w:tc>
          <w:tcPr>
            <w:tcW w:w="1800" w:type="dxa"/>
            <w:vAlign w:val="top"/>
          </w:tcPr>
          <w:p>
            <w:pPr>
              <w:rPr>
                <w:rFonts w:hint="eastAsia"/>
                <w:color w:val="000000"/>
              </w:rPr>
            </w:pPr>
            <w:r>
              <w:rPr>
                <w:rFonts w:hint="eastAsia"/>
                <w:color w:val="000000"/>
              </w:rPr>
              <w:t>600</w:t>
            </w:r>
          </w:p>
        </w:tc>
        <w:tc>
          <w:tcPr>
            <w:tcW w:w="1792" w:type="dxa"/>
            <w:vAlign w:val="top"/>
          </w:tcPr>
          <w:p>
            <w:pPr>
              <w:rPr>
                <w:rFonts w:hint="eastAsia"/>
                <w:color w:val="000000"/>
              </w:rPr>
            </w:pPr>
            <w:r>
              <w:rPr>
                <w:rFonts w:hint="eastAsia"/>
                <w:color w:val="000000"/>
              </w:rPr>
              <w:t>400</w:t>
            </w:r>
          </w:p>
        </w:tc>
        <w:tc>
          <w:tcPr>
            <w:tcW w:w="1808" w:type="dxa"/>
            <w:vAlign w:val="top"/>
          </w:tcPr>
          <w:p>
            <w:pPr>
              <w:rPr>
                <w:rFonts w:hint="eastAsia"/>
                <w:color w:val="000000"/>
              </w:rPr>
            </w:pPr>
            <w:r>
              <w:rPr>
                <w:rFonts w:hint="eastAsia"/>
                <w:color w:val="000000"/>
              </w:rPr>
              <w:t>300</w:t>
            </w:r>
          </w:p>
        </w:tc>
        <w:tc>
          <w:tcPr>
            <w:tcW w:w="1034" w:type="dxa"/>
            <w:vAlign w:val="top"/>
          </w:tcPr>
          <w:p>
            <w:pPr>
              <w:rPr>
                <w:rFonts w:hint="eastAsia"/>
                <w:color w:val="000000"/>
              </w:rPr>
            </w:pPr>
            <w:r>
              <w:rPr>
                <w:rFonts w:hint="eastAsia"/>
                <w:color w:val="00000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color w:val="000000"/>
              </w:rPr>
            </w:pPr>
            <w:r>
              <w:rPr>
                <w:rFonts w:hint="eastAsia"/>
                <w:color w:val="000000"/>
              </w:rPr>
              <w:t>省厅委</w:t>
            </w:r>
          </w:p>
        </w:tc>
        <w:tc>
          <w:tcPr>
            <w:tcW w:w="900" w:type="dxa"/>
            <w:vAlign w:val="top"/>
          </w:tcPr>
          <w:p>
            <w:pPr>
              <w:rPr>
                <w:rFonts w:hint="eastAsia"/>
                <w:color w:val="000000"/>
              </w:rPr>
            </w:pPr>
            <w:r>
              <w:rPr>
                <w:rFonts w:hint="eastAsia"/>
                <w:color w:val="000000"/>
              </w:rPr>
              <w:t>600</w:t>
            </w:r>
          </w:p>
        </w:tc>
        <w:tc>
          <w:tcPr>
            <w:tcW w:w="1800" w:type="dxa"/>
            <w:vAlign w:val="top"/>
          </w:tcPr>
          <w:p>
            <w:pPr>
              <w:rPr>
                <w:rFonts w:hint="eastAsia"/>
                <w:color w:val="000000"/>
              </w:rPr>
            </w:pPr>
            <w:r>
              <w:rPr>
                <w:rFonts w:hint="eastAsia"/>
                <w:color w:val="000000"/>
              </w:rPr>
              <w:t>400</w:t>
            </w:r>
          </w:p>
        </w:tc>
        <w:tc>
          <w:tcPr>
            <w:tcW w:w="1792" w:type="dxa"/>
            <w:vAlign w:val="top"/>
          </w:tcPr>
          <w:p>
            <w:pPr>
              <w:rPr>
                <w:rFonts w:hint="eastAsia"/>
                <w:color w:val="000000"/>
              </w:rPr>
            </w:pPr>
            <w:r>
              <w:rPr>
                <w:rFonts w:hint="eastAsia"/>
                <w:color w:val="000000"/>
              </w:rPr>
              <w:t>300</w:t>
            </w:r>
          </w:p>
        </w:tc>
        <w:tc>
          <w:tcPr>
            <w:tcW w:w="1808" w:type="dxa"/>
            <w:vAlign w:val="top"/>
          </w:tcPr>
          <w:p>
            <w:pPr>
              <w:rPr>
                <w:rFonts w:hint="eastAsia"/>
                <w:color w:val="000000"/>
              </w:rPr>
            </w:pPr>
            <w:r>
              <w:rPr>
                <w:rFonts w:hint="eastAsia"/>
                <w:color w:val="000000"/>
              </w:rPr>
              <w:t>200</w:t>
            </w:r>
          </w:p>
        </w:tc>
        <w:tc>
          <w:tcPr>
            <w:tcW w:w="1034" w:type="dxa"/>
            <w:vAlign w:val="top"/>
          </w:tcPr>
          <w:p>
            <w:pPr>
              <w:rPr>
                <w:rFonts w:hint="eastAsia"/>
                <w:color w:val="000000"/>
              </w:rPr>
            </w:pPr>
            <w:r>
              <w:rPr>
                <w:rFonts w:hint="eastAsia"/>
                <w:color w:val="00000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color w:val="000000"/>
              </w:rPr>
            </w:pPr>
            <w:r>
              <w:rPr>
                <w:rFonts w:hint="eastAsia"/>
                <w:color w:val="000000"/>
              </w:rPr>
              <w:t>国家级学会、协会</w:t>
            </w:r>
          </w:p>
        </w:tc>
        <w:tc>
          <w:tcPr>
            <w:tcW w:w="900" w:type="dxa"/>
            <w:vAlign w:val="top"/>
          </w:tcPr>
          <w:p>
            <w:pPr>
              <w:rPr>
                <w:rFonts w:hint="eastAsia"/>
                <w:color w:val="000000"/>
              </w:rPr>
            </w:pPr>
            <w:r>
              <w:rPr>
                <w:rFonts w:hint="eastAsia"/>
                <w:color w:val="000000"/>
              </w:rPr>
              <w:t>400</w:t>
            </w:r>
          </w:p>
        </w:tc>
        <w:tc>
          <w:tcPr>
            <w:tcW w:w="1800" w:type="dxa"/>
            <w:vAlign w:val="top"/>
          </w:tcPr>
          <w:p>
            <w:pPr>
              <w:rPr>
                <w:rFonts w:hint="eastAsia"/>
                <w:color w:val="000000"/>
              </w:rPr>
            </w:pPr>
            <w:r>
              <w:rPr>
                <w:rFonts w:hint="eastAsia"/>
                <w:color w:val="000000"/>
              </w:rPr>
              <w:t>300</w:t>
            </w:r>
          </w:p>
        </w:tc>
        <w:tc>
          <w:tcPr>
            <w:tcW w:w="1792" w:type="dxa"/>
            <w:vAlign w:val="top"/>
          </w:tcPr>
          <w:p>
            <w:pPr>
              <w:rPr>
                <w:rFonts w:hint="eastAsia"/>
                <w:color w:val="000000"/>
              </w:rPr>
            </w:pPr>
            <w:r>
              <w:rPr>
                <w:rFonts w:hint="eastAsia"/>
                <w:color w:val="000000"/>
              </w:rPr>
              <w:t>200</w:t>
            </w:r>
          </w:p>
        </w:tc>
        <w:tc>
          <w:tcPr>
            <w:tcW w:w="1808" w:type="dxa"/>
            <w:vAlign w:val="top"/>
          </w:tcPr>
          <w:p>
            <w:pPr>
              <w:rPr>
                <w:rFonts w:hint="eastAsia"/>
                <w:color w:val="000000"/>
              </w:rPr>
            </w:pPr>
            <w:r>
              <w:rPr>
                <w:rFonts w:hint="eastAsia"/>
                <w:color w:val="000000"/>
              </w:rPr>
              <w:t>100</w:t>
            </w:r>
          </w:p>
        </w:tc>
        <w:tc>
          <w:tcPr>
            <w:tcW w:w="1034" w:type="dxa"/>
            <w:vAlign w:val="top"/>
          </w:tcPr>
          <w:p>
            <w:pPr>
              <w:rPr>
                <w:rFonts w:hint="eastAsia"/>
                <w:color w:val="000000"/>
              </w:rPr>
            </w:pPr>
            <w:r>
              <w:rPr>
                <w:rFonts w:hint="eastAsia"/>
                <w:color w:val="00000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rPr>
                <w:rFonts w:hint="eastAsia"/>
                <w:color w:val="000000"/>
              </w:rPr>
            </w:pPr>
            <w:r>
              <w:rPr>
                <w:rFonts w:hint="eastAsia"/>
                <w:color w:val="000000"/>
              </w:rPr>
              <w:t>省级学会、协会</w:t>
            </w:r>
          </w:p>
        </w:tc>
        <w:tc>
          <w:tcPr>
            <w:tcW w:w="900" w:type="dxa"/>
            <w:vAlign w:val="top"/>
          </w:tcPr>
          <w:p>
            <w:pPr>
              <w:rPr>
                <w:rFonts w:hint="eastAsia"/>
                <w:color w:val="000000"/>
              </w:rPr>
            </w:pPr>
            <w:r>
              <w:rPr>
                <w:rFonts w:hint="eastAsia"/>
                <w:color w:val="000000"/>
              </w:rPr>
              <w:t>200</w:t>
            </w:r>
          </w:p>
        </w:tc>
        <w:tc>
          <w:tcPr>
            <w:tcW w:w="1800" w:type="dxa"/>
            <w:vAlign w:val="top"/>
          </w:tcPr>
          <w:p>
            <w:pPr>
              <w:rPr>
                <w:rFonts w:hint="eastAsia"/>
                <w:color w:val="000000"/>
              </w:rPr>
            </w:pPr>
            <w:r>
              <w:rPr>
                <w:rFonts w:hint="eastAsia"/>
                <w:color w:val="000000"/>
              </w:rPr>
              <w:t>150</w:t>
            </w:r>
          </w:p>
        </w:tc>
        <w:tc>
          <w:tcPr>
            <w:tcW w:w="1792" w:type="dxa"/>
            <w:vAlign w:val="top"/>
          </w:tcPr>
          <w:p>
            <w:pPr>
              <w:rPr>
                <w:rFonts w:hint="eastAsia"/>
                <w:color w:val="000000"/>
              </w:rPr>
            </w:pPr>
            <w:r>
              <w:rPr>
                <w:rFonts w:hint="eastAsia"/>
                <w:color w:val="000000"/>
              </w:rPr>
              <w:t>100</w:t>
            </w:r>
          </w:p>
        </w:tc>
        <w:tc>
          <w:tcPr>
            <w:tcW w:w="1808" w:type="dxa"/>
            <w:vAlign w:val="top"/>
          </w:tcPr>
          <w:p>
            <w:pPr>
              <w:rPr>
                <w:rFonts w:hint="eastAsia"/>
                <w:color w:val="000000"/>
              </w:rPr>
            </w:pPr>
            <w:r>
              <w:rPr>
                <w:rFonts w:hint="eastAsia"/>
                <w:color w:val="000000"/>
              </w:rPr>
              <w:t>80</w:t>
            </w:r>
          </w:p>
        </w:tc>
        <w:tc>
          <w:tcPr>
            <w:tcW w:w="1034" w:type="dxa"/>
            <w:vAlign w:val="top"/>
          </w:tcPr>
          <w:p>
            <w:pPr>
              <w:rPr>
                <w:rFonts w:hint="eastAsia"/>
                <w:color w:val="000000"/>
              </w:rPr>
            </w:pPr>
            <w:r>
              <w:rPr>
                <w:rFonts w:hint="eastAsia"/>
                <w:color w:val="000000"/>
              </w:rPr>
              <w:t>50</w:t>
            </w:r>
          </w:p>
        </w:tc>
      </w:tr>
    </w:tbl>
    <w:p>
      <w:pPr>
        <w:rPr>
          <w:rFonts w:hint="eastAsia"/>
          <w:color w:val="000000"/>
        </w:rPr>
      </w:pPr>
    </w:p>
    <w:p>
      <w:pPr>
        <w:rPr>
          <w:rFonts w:hint="eastAsia"/>
          <w:color w:val="000000"/>
        </w:rPr>
      </w:pPr>
    </w:p>
    <w:p>
      <w:pPr>
        <w:rPr>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color w:val="000000"/>
        </w:rPr>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文鼎大标宋">
    <w:altName w:val="黑体"/>
    <w:panose1 w:val="00000000000000000000"/>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Tahoma">
    <w:panose1 w:val="020B0604030504040204"/>
    <w:charset w:val="00"/>
    <w:family w:val="swiss"/>
    <w:pitch w:val="default"/>
    <w:sig w:usb0="61007A87" w:usb1="80000000" w:usb2="00000008" w:usb3="00000000" w:csb0="200101FF" w:csb1="20280000"/>
  </w:font>
  <w:font w:name="方正粗圆简体">
    <w:altName w:val="宋体"/>
    <w:panose1 w:val="02010601030101010101"/>
    <w:charset w:val="86"/>
    <w:family w:val="auto"/>
    <w:pitch w:val="default"/>
    <w:sig w:usb0="00000000" w:usb1="0000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A6D61"/>
    <w:rsid w:val="0BEA6D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2017-10-12T02:43:00Z</dcterms:created>
  <dc:creator>谌湘闽</dc:creator>
  <cp:lastModifiedBy>谌湘闽</cp:lastModifiedBy>
  <dcterms:modified xsi:type="dcterms:W3CDTF">2017-10-12T02:43:48Z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